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A31508" w14:textId="1719D7EB" w:rsidR="009D1E5E" w:rsidRDefault="009D1E5E">
      <w:r w:rsidRPr="009D1E5E">
        <w:drawing>
          <wp:inline distT="0" distB="0" distL="0" distR="0" wp14:anchorId="557D18A7" wp14:editId="38138D8D">
            <wp:extent cx="5943600" cy="471424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714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D1E5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formatting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E5E"/>
    <w:rsid w:val="009D1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99239C"/>
  <w15:chartTrackingRefBased/>
  <w15:docId w15:val="{26AA7B99-4632-4398-81B2-FC8C3C5DB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Washington State Department of Veterans Affairs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Lozano, Rafael (DVA)</dc:creator>
  <cp:keywords/>
  <dc:description/>
  <cp:lastModifiedBy>Lozano, Rafael (DVA)</cp:lastModifiedBy>
  <cp:revision>1</cp:revision>
  <dcterms:created xsi:type="dcterms:W3CDTF">2023-03-21T21:16:00Z</dcterms:created>
  <dcterms:modified xsi:type="dcterms:W3CDTF">2023-03-21T21:17:00Z</dcterms:modified>
</cp:coreProperties>
</file>